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2FE" w:rsidRDefault="001D3889">
      <w:pPr>
        <w:spacing w:before="38" w:line="247" w:lineRule="auto"/>
        <w:ind w:left="661" w:right="6640"/>
        <w:rPr>
          <w:rFonts w:ascii="Arial" w:hAnsi="Arial"/>
          <w:b/>
          <w:sz w:val="24"/>
        </w:rPr>
      </w:pPr>
      <w:r>
        <w:rPr>
          <w:noProof/>
          <w:lang w:eastAsia="ca-ES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733167</wp:posOffset>
            </wp:positionH>
            <wp:positionV relativeFrom="paragraph">
              <wp:posOffset>25217</wp:posOffset>
            </wp:positionV>
            <wp:extent cx="283347" cy="32487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347" cy="324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24"/>
        </w:rPr>
        <w:t>Generalitat</w:t>
      </w:r>
      <w:r>
        <w:rPr>
          <w:rFonts w:ascii="Arial" w:hAnsi="Arial"/>
          <w:spacing w:val="-10"/>
          <w:sz w:val="24"/>
        </w:rPr>
        <w:t xml:space="preserve"> </w:t>
      </w:r>
      <w:r>
        <w:rPr>
          <w:rFonts w:ascii="Arial" w:hAnsi="Arial"/>
          <w:sz w:val="24"/>
        </w:rPr>
        <w:t>de</w:t>
      </w:r>
      <w:r>
        <w:rPr>
          <w:rFonts w:ascii="Arial" w:hAnsi="Arial"/>
          <w:spacing w:val="-11"/>
          <w:sz w:val="24"/>
        </w:rPr>
        <w:t xml:space="preserve"> </w:t>
      </w:r>
      <w:r>
        <w:rPr>
          <w:rFonts w:ascii="Arial" w:hAnsi="Arial"/>
          <w:sz w:val="24"/>
        </w:rPr>
        <w:t xml:space="preserve">Catalunya Departament de Cultura </w:t>
      </w:r>
      <w:r>
        <w:rPr>
          <w:rFonts w:ascii="Arial" w:hAnsi="Arial"/>
          <w:b/>
          <w:sz w:val="24"/>
        </w:rPr>
        <w:t>Direcció de Serveis</w:t>
      </w:r>
    </w:p>
    <w:p w:rsidR="00D812FE" w:rsidRDefault="001D3889">
      <w:pPr>
        <w:spacing w:line="177" w:lineRule="exact"/>
        <w:ind w:left="661"/>
        <w:rPr>
          <w:rFonts w:ascii="Arial" w:hAnsi="Arial"/>
          <w:sz w:val="16"/>
        </w:rPr>
      </w:pPr>
      <w:r>
        <w:rPr>
          <w:rFonts w:ascii="Arial" w:hAnsi="Arial"/>
          <w:sz w:val="16"/>
        </w:rPr>
        <w:t>Servei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pacing w:val="-2"/>
          <w:sz w:val="16"/>
        </w:rPr>
        <w:t>d’Obres</w:t>
      </w:r>
    </w:p>
    <w:p w:rsidR="00D812FE" w:rsidRDefault="00D812FE">
      <w:pPr>
        <w:pStyle w:val="Textindependent"/>
        <w:rPr>
          <w:rFonts w:ascii="Arial"/>
          <w:sz w:val="20"/>
        </w:rPr>
      </w:pPr>
    </w:p>
    <w:p w:rsidR="00D812FE" w:rsidRDefault="00D812FE">
      <w:pPr>
        <w:pStyle w:val="Textindependent"/>
        <w:rPr>
          <w:rFonts w:ascii="Arial"/>
          <w:sz w:val="20"/>
        </w:rPr>
      </w:pPr>
    </w:p>
    <w:p w:rsidR="00D812FE" w:rsidRDefault="00D812FE">
      <w:pPr>
        <w:pStyle w:val="Textindependent"/>
        <w:rPr>
          <w:rFonts w:ascii="Arial"/>
          <w:sz w:val="20"/>
        </w:rPr>
      </w:pPr>
    </w:p>
    <w:p w:rsidR="00D812FE" w:rsidRDefault="00D812FE">
      <w:pPr>
        <w:pStyle w:val="Textindependent"/>
        <w:rPr>
          <w:rFonts w:ascii="Arial"/>
          <w:sz w:val="20"/>
        </w:rPr>
      </w:pPr>
    </w:p>
    <w:p w:rsidR="00D812FE" w:rsidRDefault="00EC6EB2">
      <w:pPr>
        <w:pStyle w:val="Textindependent"/>
        <w:spacing w:before="4"/>
        <w:rPr>
          <w:rFonts w:ascii="Arial"/>
          <w:sz w:val="20"/>
        </w:rPr>
      </w:pPr>
      <w:r>
        <w:pict>
          <v:group id="docshapegroup1" o:spid="_x0000_s1028" style="position:absolute;margin-left:83.65pt;margin-top:12.9pt;width:456.5pt;height:38.05pt;z-index:-251657216;mso-wrap-distance-left:0;mso-wrap-distance-right:0;mso-position-horizontal-relative:page" coordorigin="1673,258" coordsize="9130,761">
            <v:shape id="docshape2" o:spid="_x0000_s1031" style="position:absolute;left:1672;top:258;width:9130;height:752" coordorigin="1673,258" coordsize="9130,752" path="m10802,258r-9129,l1673,649r,360l10802,1009r,-360l10802,258xe" fillcolor="#dadada" stroked="f">
              <v:path arrowok="t"/>
            </v:shape>
            <v:rect id="docshape3" o:spid="_x0000_s1030" style="position:absolute;left:1672;top:1009;width:9130;height:10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29" type="#_x0000_t202" style="position:absolute;left:1672;top:258;width:9130;height:752" filled="f" stroked="f">
              <v:textbox inset="0,0,0,0">
                <w:txbxContent>
                  <w:p w:rsidR="00D812FE" w:rsidRDefault="001D3889">
                    <w:pPr>
                      <w:ind w:left="1145" w:right="1148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Annex</w:t>
                    </w:r>
                    <w:r>
                      <w:rPr>
                        <w:b/>
                        <w:spacing w:val="62"/>
                        <w:sz w:val="32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32"/>
                      </w:rPr>
                      <w:t>J</w:t>
                    </w:r>
                  </w:p>
                  <w:p w:rsidR="00D812FE" w:rsidRDefault="001D3889">
                    <w:pPr>
                      <w:ind w:left="1147" w:right="1148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DOCUMENTACIÓ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DE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PERSONAL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AMB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DRET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DE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pacing w:val="-2"/>
                        <w:sz w:val="28"/>
                      </w:rPr>
                      <w:t>SUBROGACIÓ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812FE" w:rsidRDefault="00D812FE">
      <w:pPr>
        <w:pStyle w:val="Textindependent"/>
        <w:rPr>
          <w:rFonts w:ascii="Arial"/>
          <w:sz w:val="20"/>
        </w:rPr>
      </w:pPr>
    </w:p>
    <w:p w:rsidR="00D812FE" w:rsidRDefault="00D812FE">
      <w:pPr>
        <w:pStyle w:val="Textindependent"/>
        <w:rPr>
          <w:rFonts w:ascii="Arial"/>
          <w:sz w:val="20"/>
        </w:rPr>
      </w:pPr>
    </w:p>
    <w:p w:rsidR="00D812FE" w:rsidRDefault="00D812FE">
      <w:pPr>
        <w:pStyle w:val="Textindependent"/>
        <w:rPr>
          <w:rFonts w:ascii="Arial"/>
          <w:sz w:val="20"/>
        </w:rPr>
      </w:pPr>
    </w:p>
    <w:p w:rsidR="00D812FE" w:rsidRPr="00361132" w:rsidRDefault="001D3889">
      <w:pPr>
        <w:pStyle w:val="Textindependent"/>
        <w:spacing w:before="190" w:after="73"/>
        <w:ind w:left="661" w:right="1047"/>
        <w:jc w:val="both"/>
      </w:pPr>
      <w:r w:rsidRPr="00361132">
        <w:t xml:space="preserve">A continuació s’adjunta la informació del personal amb dret de subrogació facilitada per les empreses adjudicatàries del contracte </w:t>
      </w:r>
      <w:r w:rsidRPr="00EC6EB2">
        <w:rPr>
          <w:highlight w:val="green"/>
        </w:rPr>
        <w:t>CU-</w:t>
      </w:r>
      <w:r w:rsidR="00361132" w:rsidRPr="00EC6EB2">
        <w:rPr>
          <w:highlight w:val="green"/>
        </w:rPr>
        <w:t>2026-xxx</w:t>
      </w:r>
      <w:r w:rsidRPr="00361132">
        <w:t xml:space="preserve"> Servei de Manteniment </w:t>
      </w:r>
      <w:proofErr w:type="spellStart"/>
      <w:r w:rsidRPr="00361132">
        <w:t>multitècnic</w:t>
      </w:r>
      <w:proofErr w:type="spellEnd"/>
      <w:r w:rsidRPr="00361132">
        <w:t xml:space="preserve"> i millora de l’eficiència energètica dels edificis del Departament de Cultura per a l’any 202</w:t>
      </w:r>
      <w:r w:rsidR="00361132" w:rsidRPr="00361132">
        <w:t>6</w:t>
      </w:r>
      <w:r w:rsidRPr="00361132">
        <w:t>, prorrogat</w:t>
      </w:r>
      <w:r w:rsidR="0095701E" w:rsidRPr="00361132">
        <w:t>s</w:t>
      </w:r>
      <w:r w:rsidRPr="00361132">
        <w:t xml:space="preserve"> </w:t>
      </w:r>
      <w:r w:rsidR="0095701E" w:rsidRPr="00361132">
        <w:t>els anys</w:t>
      </w:r>
      <w:r w:rsidRPr="00361132">
        <w:t xml:space="preserve"> 202</w:t>
      </w:r>
      <w:r w:rsidR="00361132" w:rsidRPr="00361132">
        <w:t>7</w:t>
      </w:r>
      <w:r w:rsidR="0095701E" w:rsidRPr="00361132">
        <w:t>, 202</w:t>
      </w:r>
      <w:r w:rsidR="00361132" w:rsidRPr="00361132">
        <w:t>8</w:t>
      </w:r>
      <w:r w:rsidR="0095701E" w:rsidRPr="00361132">
        <w:t xml:space="preserve"> i 202</w:t>
      </w:r>
      <w:r w:rsidR="00361132" w:rsidRPr="00361132">
        <w:t>9</w:t>
      </w:r>
      <w:r w:rsidRPr="00361132">
        <w:t>.</w:t>
      </w:r>
    </w:p>
    <w:p w:rsidR="00D812FE" w:rsidRDefault="00D812FE">
      <w:pPr>
        <w:pStyle w:val="Textindependent"/>
        <w:spacing w:line="20" w:lineRule="exact"/>
        <w:ind w:left="-1040"/>
        <w:rPr>
          <w:sz w:val="2"/>
        </w:rPr>
      </w:pPr>
    </w:p>
    <w:p w:rsidR="00D812FE" w:rsidRDefault="00D812FE">
      <w:pPr>
        <w:pStyle w:val="Textindependent"/>
      </w:pPr>
    </w:p>
    <w:p w:rsidR="00D812FE" w:rsidRDefault="001D3889">
      <w:pPr>
        <w:pStyle w:val="Textindependent"/>
        <w:spacing w:before="201"/>
        <w:ind w:left="661" w:right="1048"/>
        <w:jc w:val="both"/>
      </w:pPr>
      <w:r>
        <w:t>Les empreses adjudicatàries del nou con</w:t>
      </w:r>
      <w:bookmarkStart w:id="0" w:name="_GoBack"/>
      <w:bookmarkEnd w:id="0"/>
      <w:r>
        <w:t>tracte hauran de confirmar les dades definitives</w:t>
      </w:r>
      <w:r>
        <w:rPr>
          <w:spacing w:val="40"/>
        </w:rPr>
        <w:t xml:space="preserve"> </w:t>
      </w:r>
      <w:r>
        <w:t>amb les empreses actualment adjudicatàries del servei.</w:t>
      </w:r>
    </w:p>
    <w:p w:rsidR="00D812FE" w:rsidRDefault="00D812FE">
      <w:pPr>
        <w:pStyle w:val="Textindependent"/>
      </w:pPr>
    </w:p>
    <w:p w:rsidR="00D812FE" w:rsidRDefault="00D812FE">
      <w:pPr>
        <w:pStyle w:val="Textindependent"/>
        <w:spacing w:before="11"/>
        <w:rPr>
          <w:sz w:val="23"/>
        </w:rPr>
      </w:pPr>
    </w:p>
    <w:p w:rsidR="00D812FE" w:rsidRDefault="001D3889">
      <w:pPr>
        <w:pStyle w:val="Textindependent"/>
        <w:spacing w:before="1"/>
        <w:ind w:left="661"/>
        <w:jc w:val="both"/>
      </w:pPr>
      <w:r>
        <w:t>Els</w:t>
      </w:r>
      <w:r>
        <w:rPr>
          <w:spacing w:val="-2"/>
        </w:rPr>
        <w:t xml:space="preserve"> </w:t>
      </w:r>
      <w:r>
        <w:t>lots</w:t>
      </w:r>
      <w:r>
        <w:rPr>
          <w:spacing w:val="-2"/>
        </w:rPr>
        <w:t xml:space="preserve"> </w:t>
      </w:r>
      <w:r>
        <w:t>amb</w:t>
      </w:r>
      <w:r>
        <w:rPr>
          <w:spacing w:val="-2"/>
        </w:rPr>
        <w:t xml:space="preserve"> </w:t>
      </w:r>
      <w:r>
        <w:t>personal</w:t>
      </w:r>
      <w:r>
        <w:rPr>
          <w:spacing w:val="-3"/>
        </w:rPr>
        <w:t xml:space="preserve"> </w:t>
      </w:r>
      <w:proofErr w:type="spellStart"/>
      <w:r>
        <w:t>subrogable</w:t>
      </w:r>
      <w:proofErr w:type="spellEnd"/>
      <w:r>
        <w:t xml:space="preserve"> </w:t>
      </w:r>
      <w:r>
        <w:rPr>
          <w:spacing w:val="-4"/>
        </w:rPr>
        <w:t>són:</w:t>
      </w:r>
    </w:p>
    <w:p w:rsidR="00D812FE" w:rsidRDefault="00D812FE">
      <w:pPr>
        <w:pStyle w:val="Textindependent"/>
        <w:spacing w:before="10"/>
        <w:rPr>
          <w:sz w:val="23"/>
        </w:rPr>
      </w:pPr>
    </w:p>
    <w:p w:rsidR="00D812FE" w:rsidRPr="001D3889" w:rsidRDefault="001D3889">
      <w:pPr>
        <w:pStyle w:val="Ttol"/>
        <w:numPr>
          <w:ilvl w:val="0"/>
          <w:numId w:val="1"/>
        </w:numPr>
        <w:tabs>
          <w:tab w:val="left" w:pos="1369"/>
          <w:tab w:val="left" w:pos="1370"/>
        </w:tabs>
        <w:ind w:hanging="349"/>
      </w:pPr>
      <w:r>
        <w:t>Lot</w:t>
      </w:r>
      <w:r>
        <w:rPr>
          <w:spacing w:val="-2"/>
        </w:rPr>
        <w:t xml:space="preserve"> </w:t>
      </w:r>
      <w:r>
        <w:t>1.-</w:t>
      </w:r>
      <w:r w:rsidR="00361132">
        <w:rPr>
          <w:spacing w:val="54"/>
        </w:rPr>
        <w:t xml:space="preserve"> </w:t>
      </w:r>
      <w:r>
        <w:rPr>
          <w:spacing w:val="-2"/>
        </w:rPr>
        <w:t>Barcelona</w:t>
      </w:r>
    </w:p>
    <w:p w:rsidR="001D3889" w:rsidRDefault="001D3889" w:rsidP="001D3889">
      <w:pPr>
        <w:pStyle w:val="Ttol"/>
        <w:numPr>
          <w:ilvl w:val="0"/>
          <w:numId w:val="1"/>
        </w:numPr>
        <w:tabs>
          <w:tab w:val="left" w:pos="1369"/>
          <w:tab w:val="left" w:pos="1370"/>
        </w:tabs>
        <w:ind w:hanging="349"/>
      </w:pPr>
      <w:r>
        <w:t>Lot</w:t>
      </w:r>
      <w:r>
        <w:rPr>
          <w:spacing w:val="-2"/>
        </w:rPr>
        <w:t xml:space="preserve"> </w:t>
      </w:r>
      <w:r>
        <w:t>2.-</w:t>
      </w:r>
      <w:r w:rsidR="00361132">
        <w:t xml:space="preserve">  </w:t>
      </w:r>
      <w:r>
        <w:rPr>
          <w:spacing w:val="-2"/>
        </w:rPr>
        <w:t>Girona</w:t>
      </w:r>
    </w:p>
    <w:p w:rsidR="001D3889" w:rsidRDefault="001D3889" w:rsidP="001D3889">
      <w:pPr>
        <w:pStyle w:val="Ttol"/>
        <w:numPr>
          <w:ilvl w:val="0"/>
          <w:numId w:val="1"/>
        </w:numPr>
        <w:tabs>
          <w:tab w:val="left" w:pos="1369"/>
          <w:tab w:val="left" w:pos="1370"/>
        </w:tabs>
        <w:ind w:hanging="349"/>
      </w:pPr>
      <w:r>
        <w:t>Lot</w:t>
      </w:r>
      <w:r>
        <w:rPr>
          <w:spacing w:val="-2"/>
        </w:rPr>
        <w:t xml:space="preserve"> </w:t>
      </w:r>
      <w:r>
        <w:t>3.-</w:t>
      </w:r>
      <w:r w:rsidR="00361132">
        <w:t xml:space="preserve">  </w:t>
      </w:r>
      <w:r>
        <w:rPr>
          <w:spacing w:val="-2"/>
        </w:rPr>
        <w:t>Lleida</w:t>
      </w:r>
    </w:p>
    <w:p w:rsidR="001D3889" w:rsidRPr="00361132" w:rsidRDefault="001D3889" w:rsidP="001D3889">
      <w:pPr>
        <w:pStyle w:val="Ttol"/>
        <w:numPr>
          <w:ilvl w:val="0"/>
          <w:numId w:val="1"/>
        </w:numPr>
        <w:tabs>
          <w:tab w:val="left" w:pos="1369"/>
          <w:tab w:val="left" w:pos="1370"/>
        </w:tabs>
        <w:ind w:hanging="349"/>
      </w:pPr>
      <w:r>
        <w:t>Lot</w:t>
      </w:r>
      <w:r>
        <w:rPr>
          <w:spacing w:val="-2"/>
        </w:rPr>
        <w:t xml:space="preserve"> </w:t>
      </w:r>
      <w:r>
        <w:t>4.-</w:t>
      </w:r>
      <w:r w:rsidR="00361132">
        <w:t xml:space="preserve">  </w:t>
      </w:r>
      <w:r>
        <w:rPr>
          <w:spacing w:val="-2"/>
        </w:rPr>
        <w:t>Tarragona</w:t>
      </w:r>
    </w:p>
    <w:p w:rsidR="00361132" w:rsidRPr="00732855" w:rsidRDefault="00361132" w:rsidP="001D3889">
      <w:pPr>
        <w:pStyle w:val="Ttol"/>
        <w:numPr>
          <w:ilvl w:val="0"/>
          <w:numId w:val="1"/>
        </w:numPr>
        <w:tabs>
          <w:tab w:val="left" w:pos="1369"/>
          <w:tab w:val="left" w:pos="1370"/>
        </w:tabs>
        <w:ind w:hanging="349"/>
        <w:rPr>
          <w:b w:val="0"/>
        </w:rPr>
      </w:pPr>
      <w:r w:rsidRPr="00732855">
        <w:rPr>
          <w:b w:val="0"/>
          <w:spacing w:val="-2"/>
        </w:rPr>
        <w:t>Lot 5.-  No Patrimonial</w:t>
      </w:r>
      <w:r w:rsidR="00732855" w:rsidRPr="00732855">
        <w:rPr>
          <w:b w:val="0"/>
          <w:spacing w:val="-2"/>
        </w:rPr>
        <w:t xml:space="preserve"> * No existeix en el CU-2022-7</w:t>
      </w:r>
    </w:p>
    <w:p w:rsidR="00D812FE" w:rsidRDefault="00D812FE">
      <w:pPr>
        <w:pStyle w:val="Textindependent"/>
        <w:rPr>
          <w:b/>
          <w:sz w:val="20"/>
        </w:rPr>
      </w:pPr>
    </w:p>
    <w:p w:rsidR="00D812FE" w:rsidRDefault="00D812FE">
      <w:pPr>
        <w:pStyle w:val="Textindependent"/>
        <w:rPr>
          <w:b/>
          <w:sz w:val="20"/>
        </w:rPr>
      </w:pPr>
    </w:p>
    <w:p w:rsidR="00D812FE" w:rsidRDefault="00D812FE">
      <w:pPr>
        <w:pStyle w:val="Textindependent"/>
        <w:spacing w:before="6"/>
        <w:rPr>
          <w:b/>
          <w:sz w:val="26"/>
        </w:rPr>
      </w:pPr>
    </w:p>
    <w:p w:rsidR="00D812FE" w:rsidRDefault="00D812FE">
      <w:pPr>
        <w:pStyle w:val="Textindependent"/>
        <w:rPr>
          <w:b/>
          <w:sz w:val="20"/>
        </w:rPr>
      </w:pPr>
    </w:p>
    <w:p w:rsidR="00D812FE" w:rsidRDefault="00D812FE">
      <w:pPr>
        <w:pStyle w:val="Textindependent"/>
        <w:rPr>
          <w:b/>
          <w:sz w:val="20"/>
        </w:rPr>
      </w:pPr>
    </w:p>
    <w:p w:rsidR="00D812FE" w:rsidRDefault="00D812FE">
      <w:pPr>
        <w:pStyle w:val="Textindependent"/>
        <w:rPr>
          <w:b/>
          <w:sz w:val="20"/>
        </w:rPr>
      </w:pPr>
    </w:p>
    <w:p w:rsidR="00D812FE" w:rsidRDefault="00D812FE">
      <w:pPr>
        <w:pStyle w:val="Textindependent"/>
        <w:spacing w:before="1"/>
        <w:rPr>
          <w:b/>
          <w:sz w:val="22"/>
        </w:rPr>
      </w:pPr>
    </w:p>
    <w:sectPr w:rsidR="00D812FE">
      <w:footerReference w:type="default" r:id="rId8"/>
      <w:type w:val="continuous"/>
      <w:pgSz w:w="11910" w:h="16840"/>
      <w:pgMar w:top="520" w:right="80" w:bottom="280" w:left="10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889" w:rsidRDefault="001D3889" w:rsidP="001D3889">
      <w:r>
        <w:separator/>
      </w:r>
    </w:p>
  </w:endnote>
  <w:endnote w:type="continuationSeparator" w:id="0">
    <w:p w:rsidR="001D3889" w:rsidRDefault="001D3889" w:rsidP="001D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889" w:rsidRDefault="001D3889" w:rsidP="001D3889">
    <w:pPr>
      <w:spacing w:before="93" w:line="208" w:lineRule="auto"/>
      <w:ind w:left="661" w:right="7752"/>
      <w:rPr>
        <w:rFonts w:ascii="Arial" w:hAnsi="Arial"/>
        <w:sz w:val="16"/>
      </w:rPr>
    </w:pPr>
    <w:r>
      <w:rPr>
        <w:rFonts w:ascii="Arial" w:hAnsi="Arial"/>
        <w:sz w:val="16"/>
      </w:rPr>
      <w:t>Rambla</w:t>
    </w:r>
    <w:r>
      <w:rPr>
        <w:rFonts w:ascii="Arial" w:hAnsi="Arial"/>
        <w:spacing w:val="-6"/>
        <w:sz w:val="16"/>
      </w:rPr>
      <w:t xml:space="preserve"> </w:t>
    </w:r>
    <w:r>
      <w:rPr>
        <w:rFonts w:ascii="Arial" w:hAnsi="Arial"/>
        <w:sz w:val="16"/>
      </w:rPr>
      <w:t>de</w:t>
    </w:r>
    <w:r>
      <w:rPr>
        <w:rFonts w:ascii="Arial" w:hAnsi="Arial"/>
        <w:spacing w:val="-6"/>
        <w:sz w:val="16"/>
      </w:rPr>
      <w:t xml:space="preserve"> </w:t>
    </w:r>
    <w:r>
      <w:rPr>
        <w:rFonts w:ascii="Arial" w:hAnsi="Arial"/>
        <w:sz w:val="16"/>
      </w:rPr>
      <w:t>Santa</w:t>
    </w:r>
    <w:r>
      <w:rPr>
        <w:rFonts w:ascii="Arial" w:hAnsi="Arial"/>
        <w:spacing w:val="-6"/>
        <w:sz w:val="16"/>
      </w:rPr>
      <w:t xml:space="preserve"> </w:t>
    </w:r>
    <w:r>
      <w:rPr>
        <w:rFonts w:ascii="Arial" w:hAnsi="Arial"/>
        <w:sz w:val="16"/>
      </w:rPr>
      <w:t>Mònica,</w:t>
    </w:r>
    <w:r>
      <w:rPr>
        <w:rFonts w:ascii="Arial" w:hAnsi="Arial"/>
        <w:spacing w:val="-5"/>
        <w:sz w:val="16"/>
      </w:rPr>
      <w:t xml:space="preserve"> </w:t>
    </w:r>
    <w:r>
      <w:rPr>
        <w:rFonts w:ascii="Arial" w:hAnsi="Arial"/>
        <w:sz w:val="16"/>
      </w:rPr>
      <w:t>8 08002 Barcelona</w:t>
    </w:r>
  </w:p>
  <w:p w:rsidR="001D3889" w:rsidRDefault="001D3889" w:rsidP="001D3889">
    <w:pPr>
      <w:spacing w:line="153" w:lineRule="exact"/>
      <w:ind w:left="661"/>
      <w:rPr>
        <w:rFonts w:ascii="Arial" w:hAnsi="Arial"/>
        <w:sz w:val="16"/>
      </w:rPr>
    </w:pPr>
    <w:r>
      <w:rPr>
        <w:rFonts w:ascii="Arial" w:hAnsi="Arial"/>
        <w:sz w:val="16"/>
      </w:rPr>
      <w:t>Telèfon</w:t>
    </w:r>
    <w:r>
      <w:rPr>
        <w:rFonts w:ascii="Arial" w:hAnsi="Arial"/>
        <w:spacing w:val="-5"/>
        <w:sz w:val="16"/>
      </w:rPr>
      <w:t xml:space="preserve"> </w:t>
    </w:r>
    <w:r>
      <w:rPr>
        <w:rFonts w:ascii="Arial" w:hAnsi="Arial"/>
        <w:sz w:val="16"/>
      </w:rPr>
      <w:t>933</w:t>
    </w:r>
    <w:r>
      <w:rPr>
        <w:rFonts w:ascii="Arial" w:hAnsi="Arial"/>
        <w:spacing w:val="-4"/>
        <w:sz w:val="16"/>
      </w:rPr>
      <w:t xml:space="preserve"> </w:t>
    </w:r>
    <w:r>
      <w:rPr>
        <w:rFonts w:ascii="Arial" w:hAnsi="Arial"/>
        <w:sz w:val="16"/>
      </w:rPr>
      <w:t>16</w:t>
    </w:r>
    <w:r>
      <w:rPr>
        <w:rFonts w:ascii="Arial" w:hAnsi="Arial"/>
        <w:spacing w:val="-4"/>
        <w:sz w:val="16"/>
      </w:rPr>
      <w:t xml:space="preserve"> </w:t>
    </w:r>
    <w:r>
      <w:rPr>
        <w:rFonts w:ascii="Arial" w:hAnsi="Arial"/>
        <w:sz w:val="16"/>
      </w:rPr>
      <w:t>27</w:t>
    </w:r>
    <w:r>
      <w:rPr>
        <w:rFonts w:ascii="Arial" w:hAnsi="Arial"/>
        <w:spacing w:val="-6"/>
        <w:sz w:val="16"/>
      </w:rPr>
      <w:t xml:space="preserve"> </w:t>
    </w:r>
    <w:r>
      <w:rPr>
        <w:rFonts w:ascii="Arial" w:hAnsi="Arial"/>
        <w:spacing w:val="-5"/>
        <w:sz w:val="16"/>
      </w:rPr>
      <w:t>00</w:t>
    </w:r>
  </w:p>
  <w:p w:rsidR="001D3889" w:rsidRPr="001D3889" w:rsidRDefault="001D3889" w:rsidP="001D3889">
    <w:pPr>
      <w:spacing w:line="171" w:lineRule="exact"/>
      <w:ind w:left="661"/>
      <w:rPr>
        <w:rFonts w:ascii="Arial"/>
        <w:sz w:val="16"/>
      </w:rPr>
    </w:pPr>
    <w:r>
      <w:rPr>
        <w:rFonts w:ascii="Arial"/>
        <w:sz w:val="16"/>
      </w:rPr>
      <w:t>Fax</w:t>
    </w:r>
    <w:r>
      <w:rPr>
        <w:rFonts w:ascii="Arial"/>
        <w:spacing w:val="-4"/>
        <w:sz w:val="16"/>
      </w:rPr>
      <w:t xml:space="preserve"> </w:t>
    </w:r>
    <w:r>
      <w:rPr>
        <w:rFonts w:ascii="Arial"/>
        <w:sz w:val="16"/>
      </w:rPr>
      <w:t>933</w:t>
    </w:r>
    <w:r>
      <w:rPr>
        <w:rFonts w:ascii="Arial"/>
        <w:spacing w:val="-4"/>
        <w:sz w:val="16"/>
      </w:rPr>
      <w:t xml:space="preserve"> </w:t>
    </w:r>
    <w:r>
      <w:rPr>
        <w:rFonts w:ascii="Arial"/>
        <w:sz w:val="16"/>
      </w:rPr>
      <w:t>16</w:t>
    </w:r>
    <w:r>
      <w:rPr>
        <w:rFonts w:ascii="Arial"/>
        <w:spacing w:val="-5"/>
        <w:sz w:val="16"/>
      </w:rPr>
      <w:t xml:space="preserve"> </w:t>
    </w:r>
    <w:r>
      <w:rPr>
        <w:rFonts w:ascii="Arial"/>
        <w:sz w:val="16"/>
      </w:rPr>
      <w:t>28</w:t>
    </w:r>
    <w:r>
      <w:rPr>
        <w:rFonts w:ascii="Arial"/>
        <w:spacing w:val="-3"/>
        <w:sz w:val="16"/>
      </w:rPr>
      <w:t xml:space="preserve"> </w:t>
    </w:r>
    <w:r>
      <w:rPr>
        <w:rFonts w:ascii="Arial"/>
        <w:spacing w:val="-5"/>
        <w:sz w:val="16"/>
      </w:rPr>
      <w:t>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889" w:rsidRDefault="001D3889" w:rsidP="001D3889">
      <w:r>
        <w:separator/>
      </w:r>
    </w:p>
  </w:footnote>
  <w:footnote w:type="continuationSeparator" w:id="0">
    <w:p w:rsidR="001D3889" w:rsidRDefault="001D3889" w:rsidP="001D3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222"/>
    <w:multiLevelType w:val="hybridMultilevel"/>
    <w:tmpl w:val="15301648"/>
    <w:lvl w:ilvl="0" w:tplc="466C0764">
      <w:numFmt w:val="bullet"/>
      <w:lvlText w:val=""/>
      <w:lvlJc w:val="left"/>
      <w:pPr>
        <w:ind w:left="1369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ca-ES" w:eastAsia="en-US" w:bidi="ar-SA"/>
      </w:rPr>
    </w:lvl>
    <w:lvl w:ilvl="1" w:tplc="DF14B532">
      <w:numFmt w:val="bullet"/>
      <w:lvlText w:val="•"/>
      <w:lvlJc w:val="left"/>
      <w:pPr>
        <w:ind w:left="2302" w:hanging="348"/>
      </w:pPr>
      <w:rPr>
        <w:rFonts w:hint="default"/>
        <w:lang w:val="ca-ES" w:eastAsia="en-US" w:bidi="ar-SA"/>
      </w:rPr>
    </w:lvl>
    <w:lvl w:ilvl="2" w:tplc="D0C6E344">
      <w:numFmt w:val="bullet"/>
      <w:lvlText w:val="•"/>
      <w:lvlJc w:val="left"/>
      <w:pPr>
        <w:ind w:left="3245" w:hanging="348"/>
      </w:pPr>
      <w:rPr>
        <w:rFonts w:hint="default"/>
        <w:lang w:val="ca-ES" w:eastAsia="en-US" w:bidi="ar-SA"/>
      </w:rPr>
    </w:lvl>
    <w:lvl w:ilvl="3" w:tplc="4F865270">
      <w:numFmt w:val="bullet"/>
      <w:lvlText w:val="•"/>
      <w:lvlJc w:val="left"/>
      <w:pPr>
        <w:ind w:left="4187" w:hanging="348"/>
      </w:pPr>
      <w:rPr>
        <w:rFonts w:hint="default"/>
        <w:lang w:val="ca-ES" w:eastAsia="en-US" w:bidi="ar-SA"/>
      </w:rPr>
    </w:lvl>
    <w:lvl w:ilvl="4" w:tplc="0B9A6D74">
      <w:numFmt w:val="bullet"/>
      <w:lvlText w:val="•"/>
      <w:lvlJc w:val="left"/>
      <w:pPr>
        <w:ind w:left="5130" w:hanging="348"/>
      </w:pPr>
      <w:rPr>
        <w:rFonts w:hint="default"/>
        <w:lang w:val="ca-ES" w:eastAsia="en-US" w:bidi="ar-SA"/>
      </w:rPr>
    </w:lvl>
    <w:lvl w:ilvl="5" w:tplc="7AA6A790">
      <w:numFmt w:val="bullet"/>
      <w:lvlText w:val="•"/>
      <w:lvlJc w:val="left"/>
      <w:pPr>
        <w:ind w:left="6073" w:hanging="348"/>
      </w:pPr>
      <w:rPr>
        <w:rFonts w:hint="default"/>
        <w:lang w:val="ca-ES" w:eastAsia="en-US" w:bidi="ar-SA"/>
      </w:rPr>
    </w:lvl>
    <w:lvl w:ilvl="6" w:tplc="DE2245D8">
      <w:numFmt w:val="bullet"/>
      <w:lvlText w:val="•"/>
      <w:lvlJc w:val="left"/>
      <w:pPr>
        <w:ind w:left="7015" w:hanging="348"/>
      </w:pPr>
      <w:rPr>
        <w:rFonts w:hint="default"/>
        <w:lang w:val="ca-ES" w:eastAsia="en-US" w:bidi="ar-SA"/>
      </w:rPr>
    </w:lvl>
    <w:lvl w:ilvl="7" w:tplc="EBD0161C">
      <w:numFmt w:val="bullet"/>
      <w:lvlText w:val="•"/>
      <w:lvlJc w:val="left"/>
      <w:pPr>
        <w:ind w:left="7958" w:hanging="348"/>
      </w:pPr>
      <w:rPr>
        <w:rFonts w:hint="default"/>
        <w:lang w:val="ca-ES" w:eastAsia="en-US" w:bidi="ar-SA"/>
      </w:rPr>
    </w:lvl>
    <w:lvl w:ilvl="8" w:tplc="7ABE2CA2">
      <w:numFmt w:val="bullet"/>
      <w:lvlText w:val="•"/>
      <w:lvlJc w:val="left"/>
      <w:pPr>
        <w:ind w:left="8901" w:hanging="348"/>
      </w:pPr>
      <w:rPr>
        <w:rFonts w:hint="default"/>
        <w:lang w:val="ca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812FE"/>
    <w:rsid w:val="001D3889"/>
    <w:rsid w:val="00361132"/>
    <w:rsid w:val="00732855"/>
    <w:rsid w:val="00827EE6"/>
    <w:rsid w:val="0095701E"/>
    <w:rsid w:val="00D812FE"/>
    <w:rsid w:val="00EC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09DA975B-237D-4BF2-BA0E-985F34BD6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4"/>
      <w:szCs w:val="24"/>
    </w:rPr>
  </w:style>
  <w:style w:type="paragraph" w:styleId="Ttol">
    <w:name w:val="Title"/>
    <w:basedOn w:val="Normal"/>
    <w:uiPriority w:val="1"/>
    <w:qFormat/>
    <w:pPr>
      <w:spacing w:before="1"/>
      <w:ind w:left="1369" w:hanging="349"/>
    </w:pPr>
    <w:rPr>
      <w:b/>
      <w:bCs/>
      <w:sz w:val="24"/>
      <w:szCs w:val="24"/>
    </w:rPr>
  </w:style>
  <w:style w:type="paragraph" w:styleId="Pargrafdellista">
    <w:name w:val="List Paragraph"/>
    <w:basedOn w:val="Normal"/>
    <w:uiPriority w:val="1"/>
    <w:qFormat/>
    <w:pPr>
      <w:spacing w:before="1"/>
      <w:ind w:left="1369" w:hanging="34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palera">
    <w:name w:val="header"/>
    <w:basedOn w:val="Normal"/>
    <w:link w:val="CapaleraCar"/>
    <w:uiPriority w:val="99"/>
    <w:unhideWhenUsed/>
    <w:rsid w:val="001D3889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D3889"/>
    <w:rPr>
      <w:rFonts w:ascii="Calibri" w:eastAsia="Calibri" w:hAnsi="Calibri" w:cs="Calibri"/>
      <w:lang w:val="ca-ES"/>
    </w:rPr>
  </w:style>
  <w:style w:type="paragraph" w:styleId="Peu">
    <w:name w:val="footer"/>
    <w:basedOn w:val="Normal"/>
    <w:link w:val="PeuCar"/>
    <w:uiPriority w:val="99"/>
    <w:unhideWhenUsed/>
    <w:rsid w:val="001D3889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1D3889"/>
    <w:rPr>
      <w:rFonts w:ascii="Calibri" w:eastAsia="Calibri" w:hAnsi="Calibri" w:cs="Calibri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Criteris de negociació i valoració que es tindran en compte en l’adjudicació del procediment negociat per la contractació dels serveis de neteja de diverses dependències i unitats administratives adscrites al Departament de la Presidència</vt:lpstr>
    </vt:vector>
  </TitlesOfParts>
  <Company>Generalitat de Catalunya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Criteris de negociació i valoració que es tindran en compte en l’adjudicació del procediment negociat per la contractació dels serveis de neteja de diverses dependències i unitats administratives adscrites al Departament de la Presidència</dc:title>
  <dc:creator>RColome</dc:creator>
  <cp:lastModifiedBy>Davila Montes, Daniel</cp:lastModifiedBy>
  <cp:revision>6</cp:revision>
  <dcterms:created xsi:type="dcterms:W3CDTF">2025-04-17T10:24:00Z</dcterms:created>
  <dcterms:modified xsi:type="dcterms:W3CDTF">2025-07-22T10:32:00Z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2025-04-17T00:00:00Z</vt:filetime>
  </property>
  <property fmtid="{D5CDD505-2E9C-101B-9397-08002B2CF9AE}" pid="3" name="Creator">
    <vt:lpwstr>Acrobat PDFMaker 11 para Word</vt:lpwstr>
  </property>
  <property fmtid="{D5CDD505-2E9C-101B-9397-08002B2CF9AE}" pid="4" name="LastSaved">
    <vt:filetime>2025-04-17T00:00:00Z</vt:filetime>
  </property>
  <property fmtid="{D5CDD505-2E9C-101B-9397-08002B2CF9AE}" pid="5" name="Producer">
    <vt:lpwstr>Adobe PDF Library 11.0</vt:lpwstr>
  </property>
</Properties>
</file>